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2B700" w14:textId="784542A9" w:rsidR="00EF6A53" w:rsidRPr="00E549A2" w:rsidRDefault="00E549A2" w:rsidP="00E549A2">
      <w:pPr>
        <w:rPr>
          <w:lang w:val="es-DO"/>
        </w:rPr>
      </w:pPr>
      <w:r>
        <w:rPr>
          <w:lang w:val="es-DO"/>
        </w:rPr>
        <w:t>Mayo- No hay relación de consulta pública en mayo 2023</w:t>
      </w:r>
    </w:p>
    <w:sectPr w:rsidR="00EF6A53" w:rsidRPr="00E54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B2F"/>
    <w:rsid w:val="00425B2F"/>
    <w:rsid w:val="00426A72"/>
    <w:rsid w:val="0043779B"/>
    <w:rsid w:val="00755016"/>
    <w:rsid w:val="00850710"/>
    <w:rsid w:val="00BE3EAE"/>
    <w:rsid w:val="00E549A2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154629"/>
  <w15:chartTrackingRefBased/>
  <w15:docId w15:val="{52E55431-66C6-4C68-AF1D-1CE1DDFE6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507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2023-06-07T14:20:00Z</dcterms:created>
  <dcterms:modified xsi:type="dcterms:W3CDTF">2023-06-07T14:20:00Z</dcterms:modified>
</cp:coreProperties>
</file>